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13622" w:type="dxa"/>
        <w:tblLayout w:type="fixed"/>
        <w:tblLook w:val="04A0" w:firstRow="1" w:lastRow="0" w:firstColumn="1" w:lastColumn="0" w:noHBand="0" w:noVBand="1"/>
      </w:tblPr>
      <w:tblGrid>
        <w:gridCol w:w="1951"/>
        <w:gridCol w:w="3509"/>
        <w:gridCol w:w="4287"/>
        <w:gridCol w:w="3875"/>
      </w:tblGrid>
      <w:tr w:rsidR="00D66481" w:rsidTr="002928AD">
        <w:trPr>
          <w:trHeight w:val="416"/>
        </w:trPr>
        <w:tc>
          <w:tcPr>
            <w:tcW w:w="1951" w:type="dxa"/>
          </w:tcPr>
          <w:p w:rsidR="00D66481" w:rsidRDefault="00D66481" w:rsidP="00D66481">
            <w:pPr>
              <w:widowControl/>
              <w:jc w:val="center"/>
            </w:pPr>
            <w:r>
              <w:br w:type="page"/>
            </w:r>
            <w:r>
              <w:rPr>
                <w:rFonts w:hint="eastAsia"/>
              </w:rPr>
              <w:t>Study</w:t>
            </w:r>
          </w:p>
        </w:tc>
        <w:tc>
          <w:tcPr>
            <w:tcW w:w="3509" w:type="dxa"/>
          </w:tcPr>
          <w:p w:rsidR="00D66481" w:rsidRDefault="00D66481" w:rsidP="00D66481">
            <w:pPr>
              <w:widowControl/>
              <w:jc w:val="center"/>
            </w:pPr>
            <w:r>
              <w:rPr>
                <w:rFonts w:hint="eastAsia"/>
              </w:rPr>
              <w:t>Phase I/II</w:t>
            </w:r>
          </w:p>
        </w:tc>
        <w:tc>
          <w:tcPr>
            <w:tcW w:w="4287" w:type="dxa"/>
          </w:tcPr>
          <w:p w:rsidR="00D66481" w:rsidRDefault="00D66481" w:rsidP="00D66481">
            <w:pPr>
              <w:widowControl/>
              <w:jc w:val="center"/>
            </w:pPr>
            <w:r>
              <w:rPr>
                <w:rFonts w:hint="eastAsia"/>
              </w:rPr>
              <w:t>Phase II/III</w:t>
            </w:r>
          </w:p>
        </w:tc>
        <w:tc>
          <w:tcPr>
            <w:tcW w:w="3875" w:type="dxa"/>
          </w:tcPr>
          <w:p w:rsidR="00D66481" w:rsidRDefault="00D66481" w:rsidP="00D66481">
            <w:pPr>
              <w:widowControl/>
              <w:jc w:val="center"/>
            </w:pPr>
            <w:r>
              <w:rPr>
                <w:rFonts w:hint="eastAsia"/>
              </w:rPr>
              <w:t>Phase II</w:t>
            </w:r>
          </w:p>
        </w:tc>
      </w:tr>
      <w:tr w:rsidR="00D66481" w:rsidTr="00EA0512">
        <w:trPr>
          <w:trHeight w:val="632"/>
        </w:trPr>
        <w:tc>
          <w:tcPr>
            <w:tcW w:w="1951" w:type="dxa"/>
          </w:tcPr>
          <w:p w:rsidR="00D66481" w:rsidRDefault="00D66481" w:rsidP="00D66481">
            <w:pPr>
              <w:widowControl/>
              <w:jc w:val="center"/>
            </w:pPr>
            <w:r>
              <w:rPr>
                <w:rFonts w:hint="eastAsia"/>
              </w:rPr>
              <w:t>Study design</w:t>
            </w:r>
          </w:p>
        </w:tc>
        <w:tc>
          <w:tcPr>
            <w:tcW w:w="3509" w:type="dxa"/>
          </w:tcPr>
          <w:p w:rsidR="00534CDC" w:rsidRDefault="00534CDC" w:rsidP="00534CDC">
            <w:pPr>
              <w:widowControl/>
              <w:jc w:val="left"/>
            </w:pPr>
            <w:r>
              <w:t>-</w:t>
            </w:r>
            <w:r w:rsidR="00647660">
              <w:t xml:space="preserve">A multicenter, open-label, randomized clinical trial </w:t>
            </w:r>
            <w:r w:rsidR="003838CE">
              <w:t xml:space="preserve">of intravenous </w:t>
            </w:r>
            <w:proofErr w:type="spellStart"/>
            <w:r w:rsidR="005B4558">
              <w:t>pabinafusp</w:t>
            </w:r>
            <w:proofErr w:type="spellEnd"/>
            <w:r w:rsidR="005B4558">
              <w:t xml:space="preserve"> alfa(PFA)</w:t>
            </w:r>
            <w:r w:rsidR="005B4558">
              <w:rPr>
                <w:rFonts w:hint="eastAsia"/>
              </w:rPr>
              <w:t xml:space="preserve">　</w:t>
            </w:r>
            <w:r w:rsidR="003838CE">
              <w:t>in patients with MPS II</w:t>
            </w:r>
          </w:p>
          <w:p w:rsidR="00534CDC" w:rsidRDefault="00534CDC" w:rsidP="00EA0512">
            <w:pPr>
              <w:widowControl/>
              <w:jc w:val="left"/>
            </w:pPr>
            <w:r>
              <w:t>-C</w:t>
            </w:r>
            <w:r w:rsidR="00647660">
              <w:t>onducted in 8 hospitals</w:t>
            </w:r>
          </w:p>
          <w:p w:rsidR="005D45B8" w:rsidRDefault="00534CDC" w:rsidP="00EA0512">
            <w:pPr>
              <w:widowControl/>
              <w:jc w:val="left"/>
            </w:pPr>
            <w:r>
              <w:t>-Objective</w:t>
            </w:r>
            <w:r w:rsidR="00767FE8">
              <w:rPr>
                <w:rFonts w:hint="eastAsia"/>
              </w:rPr>
              <w:t>s</w:t>
            </w:r>
            <w:r>
              <w:t>: to</w:t>
            </w:r>
            <w:r w:rsidR="00EA0512">
              <w:t xml:space="preserve"> assess the safety, </w:t>
            </w:r>
            <w:r w:rsidR="00767FE8">
              <w:t>pharmacokinetics (</w:t>
            </w:r>
            <w:r w:rsidR="00F6769E">
              <w:t>PK</w:t>
            </w:r>
            <w:r w:rsidR="00767FE8">
              <w:t>)</w:t>
            </w:r>
            <w:r w:rsidR="00EA0512">
              <w:t xml:space="preserve"> and exploratory efficacy of intravenously administered </w:t>
            </w:r>
            <w:r w:rsidR="00691590">
              <w:t>PFA</w:t>
            </w:r>
            <w:r w:rsidR="005D45B8">
              <w:t>.</w:t>
            </w:r>
          </w:p>
          <w:p w:rsidR="00534CDC" w:rsidRDefault="00534CDC" w:rsidP="00EA0512">
            <w:pPr>
              <w:widowControl/>
              <w:jc w:val="left"/>
            </w:pPr>
            <w:r>
              <w:t>-</w:t>
            </w:r>
            <w:r w:rsidR="00767FE8">
              <w:t>Safety was evaluated during the</w:t>
            </w:r>
            <w:r w:rsidR="00EA0512">
              <w:t xml:space="preserve"> first </w:t>
            </w:r>
            <w:r w:rsidR="00691590">
              <w:t xml:space="preserve">4-week </w:t>
            </w:r>
            <w:r w:rsidR="00767FE8">
              <w:t>part</w:t>
            </w:r>
            <w:r w:rsidR="00EA0512">
              <w:t xml:space="preserve"> </w:t>
            </w:r>
            <w:r w:rsidR="00F6769E">
              <w:t xml:space="preserve">in </w:t>
            </w:r>
            <w:r w:rsidR="00EA0512">
              <w:t xml:space="preserve">2 patients at </w:t>
            </w:r>
            <w:r>
              <w:t>0.01, 0.1, 1.0, 2.0 mg/kg/week</w:t>
            </w:r>
            <w:r w:rsidR="00767FE8">
              <w:t xml:space="preserve"> of PFA</w:t>
            </w:r>
          </w:p>
          <w:p w:rsidR="00534CDC" w:rsidRDefault="00534CDC" w:rsidP="00EA0512">
            <w:pPr>
              <w:widowControl/>
              <w:jc w:val="left"/>
            </w:pPr>
            <w:r>
              <w:t>-</w:t>
            </w:r>
            <w:r w:rsidR="00691590">
              <w:t>T</w:t>
            </w:r>
            <w:r w:rsidR="00EA0512">
              <w:t xml:space="preserve">he second 4-week </w:t>
            </w:r>
            <w:r w:rsidR="00767FE8">
              <w:t>part was</w:t>
            </w:r>
            <w:r w:rsidR="00EA0512">
              <w:t xml:space="preserve"> a randomized study</w:t>
            </w:r>
            <w:r>
              <w:t>,</w:t>
            </w:r>
            <w:r w:rsidR="00EA0512">
              <w:t xml:space="preserve"> </w:t>
            </w:r>
            <w:r w:rsidR="00767FE8">
              <w:t>during which</w:t>
            </w:r>
            <w:r w:rsidR="00EA0512">
              <w:t xml:space="preserve"> the safety, </w:t>
            </w:r>
            <w:r w:rsidR="00691590">
              <w:t>PK</w:t>
            </w:r>
            <w:r w:rsidR="00EA0512">
              <w:t xml:space="preserve">, and exploratory efficacy of </w:t>
            </w:r>
            <w:r w:rsidR="00691590">
              <w:t>PFA</w:t>
            </w:r>
            <w:r w:rsidR="00EA0512">
              <w:t xml:space="preserve"> </w:t>
            </w:r>
            <w:r w:rsidR="00767FE8">
              <w:t xml:space="preserve">was evaluated </w:t>
            </w:r>
            <w:r w:rsidR="00EA0512">
              <w:t>at 1.0 or 2.0 mg/kg/week (6 patients in e</w:t>
            </w:r>
            <w:r>
              <w:t>ach group)</w:t>
            </w:r>
          </w:p>
          <w:p w:rsidR="00647660" w:rsidRDefault="00534CDC" w:rsidP="00BC4548">
            <w:pPr>
              <w:widowControl/>
              <w:jc w:val="left"/>
            </w:pPr>
            <w:r>
              <w:t>-</w:t>
            </w:r>
            <w:r w:rsidR="00EA0512">
              <w:t xml:space="preserve">In all patients, </w:t>
            </w:r>
            <w:proofErr w:type="spellStart"/>
            <w:r w:rsidR="00EA0512">
              <w:t>idursulfase</w:t>
            </w:r>
            <w:proofErr w:type="spellEnd"/>
            <w:r w:rsidR="00EA0512">
              <w:t xml:space="preserve"> was switched to </w:t>
            </w:r>
            <w:r w:rsidR="00FE2711">
              <w:t>PFA</w:t>
            </w:r>
            <w:r w:rsidR="00EA0512">
              <w:t xml:space="preserve"> without a washout period </w:t>
            </w:r>
          </w:p>
        </w:tc>
        <w:tc>
          <w:tcPr>
            <w:tcW w:w="4287" w:type="dxa"/>
          </w:tcPr>
          <w:p w:rsidR="00534CDC" w:rsidRDefault="002928AD" w:rsidP="00691590">
            <w:pPr>
              <w:widowControl/>
              <w:jc w:val="left"/>
            </w:pPr>
            <w:r>
              <w:t>-</w:t>
            </w:r>
            <w:r w:rsidR="00D66481">
              <w:t>A multice</w:t>
            </w:r>
            <w:r w:rsidR="00534CDC">
              <w:t>nter, open-label clinical trial</w:t>
            </w:r>
          </w:p>
          <w:p w:rsidR="00534CDC" w:rsidRDefault="002928AD" w:rsidP="00691590">
            <w:pPr>
              <w:widowControl/>
              <w:jc w:val="left"/>
            </w:pPr>
            <w:r>
              <w:t>-</w:t>
            </w:r>
            <w:r w:rsidR="00534CDC">
              <w:t xml:space="preserve">Objective: </w:t>
            </w:r>
            <w:r w:rsidR="00D66481">
              <w:t xml:space="preserve">to evaluate the efficacy of </w:t>
            </w:r>
            <w:r w:rsidR="003838CE">
              <w:t xml:space="preserve">intravenous </w:t>
            </w:r>
            <w:r w:rsidR="00691590">
              <w:t>PFA</w:t>
            </w:r>
            <w:r w:rsidR="00D66481">
              <w:t xml:space="preserve"> in patients with MPS II </w:t>
            </w:r>
          </w:p>
          <w:p w:rsidR="00691590" w:rsidRDefault="002928AD" w:rsidP="00691590">
            <w:pPr>
              <w:widowControl/>
              <w:jc w:val="left"/>
            </w:pPr>
            <w:r>
              <w:t>-</w:t>
            </w:r>
            <w:r w:rsidR="00534CDC">
              <w:t xml:space="preserve">Conducted </w:t>
            </w:r>
            <w:r w:rsidR="00EE48C1">
              <w:t>in</w:t>
            </w:r>
            <w:r w:rsidR="00D66481">
              <w:rPr>
                <w:rFonts w:hint="eastAsia"/>
              </w:rPr>
              <w:t xml:space="preserve"> </w:t>
            </w:r>
            <w:r w:rsidR="00D66481">
              <w:t>19 hospitals in Japan</w:t>
            </w:r>
          </w:p>
          <w:p w:rsidR="00EB1EED" w:rsidRDefault="002928AD" w:rsidP="00691590">
            <w:pPr>
              <w:widowControl/>
              <w:jc w:val="left"/>
            </w:pPr>
            <w:r>
              <w:t>-</w:t>
            </w:r>
            <w:r w:rsidR="00D66481">
              <w:t>The study consist</w:t>
            </w:r>
            <w:r w:rsidR="00767FE8">
              <w:t>ed</w:t>
            </w:r>
            <w:r w:rsidR="00D66481">
              <w:t xml:space="preserve"> of a treatment period of 52 weeks, </w:t>
            </w:r>
            <w:r w:rsidR="00767FE8">
              <w:t xml:space="preserve">which was </w:t>
            </w:r>
            <w:r w:rsidR="00D66481">
              <w:t xml:space="preserve">preceded by an observation period of 4 weeks for the patients </w:t>
            </w:r>
            <w:r w:rsidR="00767FE8">
              <w:t xml:space="preserve">who </w:t>
            </w:r>
            <w:r w:rsidR="00D66481">
              <w:t>switched</w:t>
            </w:r>
            <w:r w:rsidR="00767FE8">
              <w:t xml:space="preserve"> to PFA</w:t>
            </w:r>
            <w:r w:rsidR="00D66481">
              <w:t xml:space="preserve"> from previous enzyme replacement therapy</w:t>
            </w:r>
            <w:r w:rsidR="00767FE8">
              <w:t xml:space="preserve"> (ERT)</w:t>
            </w:r>
            <w:r w:rsidR="00D66481">
              <w:t xml:space="preserve"> with </w:t>
            </w:r>
            <w:proofErr w:type="spellStart"/>
            <w:r w:rsidR="00D66481">
              <w:t>idursulfase</w:t>
            </w:r>
            <w:proofErr w:type="spellEnd"/>
            <w:r w:rsidR="00D66481">
              <w:t xml:space="preserve">, or of 2 weeks for those </w:t>
            </w:r>
            <w:r w:rsidR="00767FE8">
              <w:t>who had received</w:t>
            </w:r>
            <w:r w:rsidR="00D66481">
              <w:t xml:space="preserve"> no p</w:t>
            </w:r>
            <w:r w:rsidR="00534CDC">
              <w:t xml:space="preserve">rior </w:t>
            </w:r>
            <w:r w:rsidR="00767FE8">
              <w:t>ERT</w:t>
            </w:r>
          </w:p>
          <w:p w:rsidR="00375D66" w:rsidRPr="00375D66" w:rsidRDefault="00375D66" w:rsidP="00691590">
            <w:pPr>
              <w:widowControl/>
              <w:jc w:val="left"/>
            </w:pPr>
            <w:r>
              <w:rPr>
                <w:rFonts w:hint="eastAsia"/>
              </w:rPr>
              <w:t>-No wash-out period</w:t>
            </w:r>
            <w:r>
              <w:t xml:space="preserve"> for the preceding ERT</w:t>
            </w:r>
            <w:r>
              <w:rPr>
                <w:rFonts w:hint="eastAsia"/>
              </w:rPr>
              <w:t xml:space="preserve"> was required before the study.</w:t>
            </w:r>
          </w:p>
        </w:tc>
        <w:tc>
          <w:tcPr>
            <w:tcW w:w="3875" w:type="dxa"/>
          </w:tcPr>
          <w:p w:rsidR="00534CDC" w:rsidRDefault="002928AD" w:rsidP="00982E19">
            <w:pPr>
              <w:widowControl/>
              <w:jc w:val="left"/>
            </w:pPr>
            <w:r>
              <w:t>-</w:t>
            </w:r>
            <w:r w:rsidR="00982E19">
              <w:t>A</w:t>
            </w:r>
            <w:r w:rsidR="003838CE">
              <w:t>n</w:t>
            </w:r>
            <w:r w:rsidR="00C81581">
              <w:t xml:space="preserve"> open-label, parallel group, randomized clinical trial</w:t>
            </w:r>
          </w:p>
          <w:p w:rsidR="00534CDC" w:rsidRDefault="002928AD" w:rsidP="00982E19">
            <w:pPr>
              <w:widowControl/>
              <w:jc w:val="left"/>
            </w:pPr>
            <w:r>
              <w:t>-</w:t>
            </w:r>
            <w:r w:rsidR="00534CDC">
              <w:t>Objective</w:t>
            </w:r>
            <w:r w:rsidR="007A3B5E">
              <w:t>s</w:t>
            </w:r>
            <w:r w:rsidR="00534CDC">
              <w:t>: to</w:t>
            </w:r>
            <w:r w:rsidR="00C81581">
              <w:t xml:space="preserve"> </w:t>
            </w:r>
            <w:r w:rsidR="00982E19">
              <w:t xml:space="preserve">evaluated </w:t>
            </w:r>
            <w:r w:rsidR="00C81581">
              <w:t xml:space="preserve">the safety, </w:t>
            </w:r>
            <w:r w:rsidR="00982E19">
              <w:t>PK</w:t>
            </w:r>
            <w:r w:rsidR="00C81581">
              <w:t xml:space="preserve"> and efficacy of </w:t>
            </w:r>
            <w:r w:rsidR="003838CE">
              <w:t xml:space="preserve">intravenous </w:t>
            </w:r>
            <w:r w:rsidR="00982E19">
              <w:t>PFA</w:t>
            </w:r>
            <w:r w:rsidR="00C81581">
              <w:t xml:space="preserve"> </w:t>
            </w:r>
            <w:r w:rsidR="003838CE">
              <w:t xml:space="preserve">in </w:t>
            </w:r>
            <w:r w:rsidR="00C81581">
              <w:t xml:space="preserve">patients with MPS-II </w:t>
            </w:r>
          </w:p>
          <w:p w:rsidR="00982E19" w:rsidRDefault="002928AD" w:rsidP="00982E19">
            <w:pPr>
              <w:widowControl/>
              <w:jc w:val="left"/>
            </w:pPr>
            <w:r>
              <w:t>-</w:t>
            </w:r>
            <w:r w:rsidR="00534CDC">
              <w:t xml:space="preserve">Conducted </w:t>
            </w:r>
            <w:r w:rsidR="00C81581">
              <w:t xml:space="preserve">in </w:t>
            </w:r>
            <w:r w:rsidR="007A3B5E">
              <w:t>2</w:t>
            </w:r>
            <w:r w:rsidR="00C81581">
              <w:t xml:space="preserve"> hospitals in Brazil</w:t>
            </w:r>
            <w:r w:rsidR="00B741D8">
              <w:t xml:space="preserve"> </w:t>
            </w:r>
          </w:p>
          <w:p w:rsidR="003838CE" w:rsidRDefault="002928AD" w:rsidP="003838CE">
            <w:pPr>
              <w:widowControl/>
              <w:jc w:val="left"/>
            </w:pPr>
            <w:r>
              <w:t>-</w:t>
            </w:r>
            <w:r w:rsidR="00C81581">
              <w:t>The s</w:t>
            </w:r>
            <w:r w:rsidR="003838CE">
              <w:t xml:space="preserve">tudy consisted of </w:t>
            </w:r>
            <w:r w:rsidR="007A3B5E">
              <w:t>4 stages</w:t>
            </w:r>
            <w:r w:rsidR="003838CE">
              <w:t>:</w:t>
            </w:r>
          </w:p>
          <w:p w:rsidR="003838CE" w:rsidRDefault="003838CE" w:rsidP="003838CE">
            <w:pPr>
              <w:widowControl/>
              <w:ind w:leftChars="17" w:left="317" w:hangingChars="134" w:hanging="281"/>
              <w:jc w:val="left"/>
            </w:pPr>
            <w:r>
              <w:t xml:space="preserve">1) </w:t>
            </w:r>
            <w:r w:rsidR="007A3B5E">
              <w:t>s</w:t>
            </w:r>
            <w:r>
              <w:t>creening</w:t>
            </w:r>
            <w:r w:rsidR="00C81581">
              <w:t xml:space="preserve"> a</w:t>
            </w:r>
            <w:r>
              <w:t>nd confirmation of eligibility</w:t>
            </w:r>
          </w:p>
          <w:p w:rsidR="003838CE" w:rsidRDefault="003838CE" w:rsidP="003838CE">
            <w:pPr>
              <w:widowControl/>
              <w:ind w:leftChars="17" w:left="317" w:hangingChars="134" w:hanging="281"/>
              <w:jc w:val="left"/>
            </w:pPr>
            <w:r>
              <w:t xml:space="preserve">2) </w:t>
            </w:r>
            <w:r w:rsidR="007A3B5E">
              <w:t>b</w:t>
            </w:r>
            <w:r>
              <w:t>aseline studies</w:t>
            </w:r>
          </w:p>
          <w:p w:rsidR="003838CE" w:rsidRDefault="003838CE" w:rsidP="003838CE">
            <w:pPr>
              <w:widowControl/>
              <w:ind w:leftChars="17" w:left="317" w:hangingChars="134" w:hanging="281"/>
              <w:jc w:val="left"/>
            </w:pPr>
            <w:r>
              <w:t xml:space="preserve">3) </w:t>
            </w:r>
            <w:r w:rsidR="007A3B5E">
              <w:t>r</w:t>
            </w:r>
            <w:r>
              <w:t>andomization and washout</w:t>
            </w:r>
          </w:p>
          <w:p w:rsidR="00534CDC" w:rsidRDefault="003838CE" w:rsidP="003838CE">
            <w:pPr>
              <w:widowControl/>
              <w:ind w:leftChars="17" w:left="317" w:hangingChars="134" w:hanging="281"/>
              <w:jc w:val="left"/>
            </w:pPr>
            <w:r>
              <w:t xml:space="preserve">4) </w:t>
            </w:r>
            <w:r w:rsidR="007A3B5E">
              <w:t xml:space="preserve">treatment and </w:t>
            </w:r>
            <w:r w:rsidR="00C81581">
              <w:t xml:space="preserve">assessment </w:t>
            </w:r>
          </w:p>
          <w:p w:rsidR="00D66481" w:rsidRDefault="002928AD" w:rsidP="003838CE">
            <w:pPr>
              <w:widowControl/>
              <w:jc w:val="left"/>
            </w:pPr>
            <w:r>
              <w:t>-</w:t>
            </w:r>
            <w:r w:rsidR="00C81581">
              <w:t xml:space="preserve">The patients who had been receiving </w:t>
            </w:r>
            <w:proofErr w:type="spellStart"/>
            <w:r w:rsidR="00C81581">
              <w:t>idursulfase</w:t>
            </w:r>
            <w:proofErr w:type="spellEnd"/>
            <w:r w:rsidR="00C81581">
              <w:t xml:space="preserve"> underwent a </w:t>
            </w:r>
            <w:r w:rsidR="00982E19">
              <w:t xml:space="preserve">1-week </w:t>
            </w:r>
            <w:r w:rsidR="00C81581">
              <w:t xml:space="preserve">washout period before switching to </w:t>
            </w:r>
            <w:r w:rsidR="00982E19">
              <w:t>PFA</w:t>
            </w:r>
          </w:p>
        </w:tc>
      </w:tr>
      <w:tr w:rsidR="00D66481" w:rsidTr="00EA0512">
        <w:trPr>
          <w:trHeight w:val="632"/>
        </w:trPr>
        <w:tc>
          <w:tcPr>
            <w:tcW w:w="1951" w:type="dxa"/>
          </w:tcPr>
          <w:p w:rsidR="00D66481" w:rsidRDefault="00D66481" w:rsidP="00D66481">
            <w:pPr>
              <w:widowControl/>
              <w:jc w:val="center"/>
            </w:pPr>
            <w:r>
              <w:rPr>
                <w:rFonts w:hint="eastAsia"/>
              </w:rPr>
              <w:lastRenderedPageBreak/>
              <w:t>Ethical compliance</w:t>
            </w:r>
          </w:p>
        </w:tc>
        <w:tc>
          <w:tcPr>
            <w:tcW w:w="11671" w:type="dxa"/>
            <w:gridSpan w:val="3"/>
          </w:tcPr>
          <w:p w:rsidR="00BC4548" w:rsidRDefault="00EB1EED" w:rsidP="00C81581">
            <w:pPr>
              <w:widowControl/>
              <w:jc w:val="left"/>
            </w:pPr>
            <w:r>
              <w:t>-</w:t>
            </w:r>
            <w:r w:rsidR="00B741D8">
              <w:t xml:space="preserve">The studies complied with the </w:t>
            </w:r>
            <w:r w:rsidR="00C81581">
              <w:t xml:space="preserve">Declaration of Helsinki. </w:t>
            </w:r>
          </w:p>
          <w:p w:rsidR="00BC4548" w:rsidRDefault="00EB1EED" w:rsidP="00C81581">
            <w:pPr>
              <w:widowControl/>
              <w:jc w:val="left"/>
            </w:pPr>
            <w:r>
              <w:t>-</w:t>
            </w:r>
            <w:r w:rsidR="00C81581">
              <w:t xml:space="preserve">The protocol and procedures regarding informed consent were reviewed and approved by the Institutional Review Board at each participating institution. </w:t>
            </w:r>
          </w:p>
          <w:p w:rsidR="00D66481" w:rsidRPr="00BC4548" w:rsidRDefault="00EB1EED" w:rsidP="00C02B87">
            <w:pPr>
              <w:widowControl/>
              <w:jc w:val="left"/>
            </w:pPr>
            <w:r>
              <w:t>-</w:t>
            </w:r>
            <w:r w:rsidR="00C81581">
              <w:t>All patients or their legal guardians submitted a signed informed consent form prior to enrolment.</w:t>
            </w:r>
          </w:p>
        </w:tc>
      </w:tr>
      <w:tr w:rsidR="00D66481" w:rsidTr="00EA0512">
        <w:trPr>
          <w:trHeight w:val="1244"/>
        </w:trPr>
        <w:tc>
          <w:tcPr>
            <w:tcW w:w="1951" w:type="dxa"/>
          </w:tcPr>
          <w:p w:rsidR="00D66481" w:rsidRDefault="00D66481" w:rsidP="00D66481">
            <w:pPr>
              <w:widowControl/>
              <w:jc w:val="center"/>
            </w:pPr>
            <w:r>
              <w:rPr>
                <w:rFonts w:hint="eastAsia"/>
              </w:rPr>
              <w:t>Participants and procedures</w:t>
            </w:r>
          </w:p>
        </w:tc>
        <w:tc>
          <w:tcPr>
            <w:tcW w:w="3509" w:type="dxa"/>
          </w:tcPr>
          <w:p w:rsidR="00C243A2" w:rsidRDefault="00EA0512" w:rsidP="00C243A2">
            <w:pPr>
              <w:widowControl/>
              <w:jc w:val="left"/>
            </w:pPr>
            <w:r w:rsidRPr="00EA0512">
              <w:t>A total of 14 male patients were enrolled. Two patients (aged 33 and 63</w:t>
            </w:r>
            <w:r w:rsidR="00902B7C">
              <w:t xml:space="preserve"> years</w:t>
            </w:r>
            <w:r w:rsidRPr="00EA0512">
              <w:t xml:space="preserve">) </w:t>
            </w:r>
            <w:r w:rsidR="00C243A2">
              <w:t>without</w:t>
            </w:r>
            <w:r w:rsidRPr="00EA0512">
              <w:t xml:space="preserve"> neurocognitive impairment</w:t>
            </w:r>
            <w:r w:rsidR="00C243A2">
              <w:t xml:space="preserve"> </w:t>
            </w:r>
            <w:r w:rsidRPr="00EA0512">
              <w:t>were selected for the Part 1. In Part 2, the other 12 patients</w:t>
            </w:r>
            <w:r w:rsidR="00C243A2">
              <w:t xml:space="preserve"> (aged 12.9 ± </w:t>
            </w:r>
            <w:r w:rsidR="001F4E9F">
              <w:t>5.3</w:t>
            </w:r>
            <w:r w:rsidR="00902B7C">
              <w:t xml:space="preserve"> years</w:t>
            </w:r>
            <w:r w:rsidR="001F4E9F">
              <w:t>)</w:t>
            </w:r>
            <w:r w:rsidR="00C243A2">
              <w:t xml:space="preserve"> were random</w:t>
            </w:r>
            <w:r w:rsidRPr="00EA0512">
              <w:t>ly assigned to</w:t>
            </w:r>
            <w:r w:rsidR="00902B7C">
              <w:t xml:space="preserve"> receive</w:t>
            </w:r>
            <w:r w:rsidRPr="00EA0512">
              <w:t xml:space="preserve"> 1.0 or 2.0 mg/kg of</w:t>
            </w:r>
            <w:r w:rsidR="00C243A2">
              <w:t xml:space="preserve"> PFA</w:t>
            </w:r>
            <w:r w:rsidRPr="00EA0512">
              <w:t xml:space="preserve">. </w:t>
            </w:r>
          </w:p>
          <w:p w:rsidR="00D66481" w:rsidRPr="00EA0512" w:rsidRDefault="00902B7C" w:rsidP="00A96210">
            <w:pPr>
              <w:widowControl/>
              <w:jc w:val="left"/>
            </w:pPr>
            <w:r>
              <w:t>S</w:t>
            </w:r>
            <w:r w:rsidR="00203E55">
              <w:t>tudy protocol</w:t>
            </w:r>
            <w:r w:rsidR="00A96210">
              <w:t xml:space="preserve"> : </w:t>
            </w:r>
            <w:r w:rsidR="005D45B8" w:rsidRPr="00343065">
              <w:t>https://clinicaltrials.gov/ct2/show/NCT03128593</w:t>
            </w:r>
          </w:p>
        </w:tc>
        <w:tc>
          <w:tcPr>
            <w:tcW w:w="4287" w:type="dxa"/>
          </w:tcPr>
          <w:p w:rsidR="00665FF8" w:rsidRDefault="00C02B87" w:rsidP="00665FF8">
            <w:pPr>
              <w:widowControl/>
              <w:jc w:val="left"/>
            </w:pPr>
            <w:r w:rsidRPr="00C02B87">
              <w:t xml:space="preserve">A total of 28 male patients received </w:t>
            </w:r>
            <w:r w:rsidR="00665FF8" w:rsidRPr="00C02B87">
              <w:t>2.0 mg/kg</w:t>
            </w:r>
            <w:r w:rsidR="00665FF8">
              <w:t xml:space="preserve">/week of </w:t>
            </w:r>
            <w:r>
              <w:t>PFA</w:t>
            </w:r>
            <w:r w:rsidRPr="00C02B87">
              <w:t xml:space="preserve"> intravenously. Pretreatment with antihistamines, steroids, and other appropriate medications was allowed during the treatment if infusion-associated reactions were suspected.</w:t>
            </w:r>
            <w:r w:rsidR="004267FC">
              <w:t xml:space="preserve"> </w:t>
            </w:r>
          </w:p>
          <w:p w:rsidR="00D66481" w:rsidRDefault="00902B7C" w:rsidP="00551F71">
            <w:pPr>
              <w:widowControl/>
              <w:jc w:val="left"/>
            </w:pPr>
            <w:r>
              <w:t>S</w:t>
            </w:r>
            <w:r w:rsidR="004267FC">
              <w:t xml:space="preserve">tudy </w:t>
            </w:r>
            <w:r w:rsidR="00A96210">
              <w:t>protocol</w:t>
            </w:r>
            <w:r w:rsidR="00551F71">
              <w:t xml:space="preserve">: </w:t>
            </w:r>
            <w:r w:rsidR="005D45B8" w:rsidRPr="005D45B8">
              <w:t>https://clinicaltrials.gov/ct2/show/NCT03568175</w:t>
            </w:r>
            <w:r w:rsidR="004267FC" w:rsidRPr="00C81581">
              <w:t>).</w:t>
            </w:r>
          </w:p>
        </w:tc>
        <w:tc>
          <w:tcPr>
            <w:tcW w:w="3875" w:type="dxa"/>
          </w:tcPr>
          <w:p w:rsidR="00647DB9" w:rsidRDefault="00C81581" w:rsidP="00647DB9">
            <w:pPr>
              <w:widowControl/>
              <w:jc w:val="left"/>
            </w:pPr>
            <w:r w:rsidRPr="00C81581">
              <w:t xml:space="preserve">A total of 20 patients were randomly allocated to </w:t>
            </w:r>
            <w:r w:rsidR="00647DB9">
              <w:t>3</w:t>
            </w:r>
            <w:r w:rsidRPr="00C81581">
              <w:t xml:space="preserve"> </w:t>
            </w:r>
            <w:r w:rsidR="00647DB9">
              <w:t>PFA</w:t>
            </w:r>
            <w:r w:rsidRPr="00C81581">
              <w:t xml:space="preserve"> dosages</w:t>
            </w:r>
            <w:r w:rsidR="00902B7C">
              <w:t>:</w:t>
            </w:r>
            <w:r w:rsidRPr="00C81581">
              <w:t xml:space="preserve"> </w:t>
            </w:r>
            <w:r w:rsidR="00647DB9">
              <w:t>8</w:t>
            </w:r>
            <w:r w:rsidRPr="00C81581">
              <w:t xml:space="preserve"> </w:t>
            </w:r>
            <w:r w:rsidR="00023D80">
              <w:t>to</w:t>
            </w:r>
            <w:r w:rsidRPr="00C81581">
              <w:t xml:space="preserve"> 1.0 mg/kg, </w:t>
            </w:r>
            <w:r w:rsidR="00647DB9">
              <w:t>5</w:t>
            </w:r>
            <w:r w:rsidRPr="00C81581">
              <w:t xml:space="preserve"> </w:t>
            </w:r>
            <w:r w:rsidR="00023D80">
              <w:t>to</w:t>
            </w:r>
            <w:r w:rsidRPr="00C81581">
              <w:t xml:space="preserve"> the 2.0 mg/kg, and</w:t>
            </w:r>
            <w:r w:rsidR="00647DB9">
              <w:t xml:space="preserve"> 7</w:t>
            </w:r>
            <w:r w:rsidRPr="00C81581">
              <w:t xml:space="preserve"> </w:t>
            </w:r>
            <w:r w:rsidR="00023D80">
              <w:t xml:space="preserve">to </w:t>
            </w:r>
            <w:r w:rsidRPr="00C81581">
              <w:t xml:space="preserve">4.0 mg/kg. </w:t>
            </w:r>
          </w:p>
          <w:p w:rsidR="00D66481" w:rsidRPr="00C81581" w:rsidRDefault="00902B7C" w:rsidP="00647DB9">
            <w:pPr>
              <w:widowControl/>
              <w:jc w:val="left"/>
            </w:pPr>
            <w:r>
              <w:t>St</w:t>
            </w:r>
            <w:r w:rsidR="00A96210">
              <w:t>udy protocol</w:t>
            </w:r>
            <w:r w:rsidR="00551F71">
              <w:t xml:space="preserve">: </w:t>
            </w:r>
            <w:r w:rsidR="00C81581" w:rsidRPr="00C81581">
              <w:t>https://clinicaltrials.gov/ct2/show/NCT03359213).</w:t>
            </w:r>
          </w:p>
        </w:tc>
      </w:tr>
      <w:tr w:rsidR="00D66481" w:rsidTr="00EA0512">
        <w:trPr>
          <w:trHeight w:val="1265"/>
        </w:trPr>
        <w:tc>
          <w:tcPr>
            <w:tcW w:w="1951" w:type="dxa"/>
          </w:tcPr>
          <w:p w:rsidR="00D66481" w:rsidRDefault="00D66481" w:rsidP="00D66481">
            <w:pPr>
              <w:widowControl/>
              <w:jc w:val="center"/>
            </w:pPr>
            <w:r>
              <w:rPr>
                <w:rFonts w:hint="eastAsia"/>
              </w:rPr>
              <w:t>Randomization and masking</w:t>
            </w:r>
          </w:p>
        </w:tc>
        <w:tc>
          <w:tcPr>
            <w:tcW w:w="3509" w:type="dxa"/>
          </w:tcPr>
          <w:p w:rsidR="00D96273" w:rsidRDefault="00902B7C" w:rsidP="00D96273">
            <w:pPr>
              <w:widowControl/>
              <w:jc w:val="left"/>
            </w:pPr>
            <w:r>
              <w:t xml:space="preserve">In </w:t>
            </w:r>
            <w:r w:rsidR="00EA0512" w:rsidRPr="00EA0512">
              <w:t>Part 2</w:t>
            </w:r>
            <w:r>
              <w:t xml:space="preserve">, </w:t>
            </w:r>
            <w:r w:rsidR="00EA0512" w:rsidRPr="00EA0512">
              <w:t xml:space="preserve">11 of the 12 subjects </w:t>
            </w:r>
            <w:r>
              <w:t xml:space="preserve">were randomly assigned </w:t>
            </w:r>
            <w:r w:rsidR="00461CDC">
              <w:t xml:space="preserve">to </w:t>
            </w:r>
            <w:r>
              <w:t xml:space="preserve">receive </w:t>
            </w:r>
            <w:r w:rsidR="00461CDC">
              <w:t xml:space="preserve">either </w:t>
            </w:r>
            <w:r w:rsidR="00D96273">
              <w:t xml:space="preserve">1.0 </w:t>
            </w:r>
            <w:r w:rsidR="00461CDC">
              <w:t>or a 2.0 mg/kg</w:t>
            </w:r>
            <w:r w:rsidR="00EA0512" w:rsidRPr="00EA0512">
              <w:t xml:space="preserve"> </w:t>
            </w:r>
            <w:r>
              <w:t xml:space="preserve">of PFA </w:t>
            </w:r>
            <w:r w:rsidR="00EA0512" w:rsidRPr="00EA0512">
              <w:t>at an overall ratio of 1:1</w:t>
            </w:r>
            <w:r>
              <w:t>.</w:t>
            </w:r>
            <w:r w:rsidR="00EA0512" w:rsidRPr="00EA0512">
              <w:t xml:space="preserve"> </w:t>
            </w:r>
            <w:r>
              <w:t>T</w:t>
            </w:r>
            <w:r w:rsidR="00EA0512" w:rsidRPr="00EA0512">
              <w:t xml:space="preserve">he exception </w:t>
            </w:r>
            <w:r>
              <w:t>was</w:t>
            </w:r>
            <w:r w:rsidR="00EA0512" w:rsidRPr="00EA0512">
              <w:t xml:space="preserve"> a 6-year-old </w:t>
            </w:r>
            <w:r>
              <w:t xml:space="preserve">who was </w:t>
            </w:r>
            <w:r w:rsidR="00EA0512" w:rsidRPr="00EA0512">
              <w:t>specifically assigned to the 1.0 mg/kg</w:t>
            </w:r>
            <w:r w:rsidR="00D96273">
              <w:t xml:space="preserve"> </w:t>
            </w:r>
            <w:r w:rsidR="00EA0512" w:rsidRPr="00EA0512">
              <w:t xml:space="preserve">group due to </w:t>
            </w:r>
            <w:r w:rsidR="00EA0512" w:rsidRPr="00EA0512">
              <w:lastRenderedPageBreak/>
              <w:t xml:space="preserve">concerns </w:t>
            </w:r>
            <w:r>
              <w:t>over the</w:t>
            </w:r>
            <w:r w:rsidR="00EA0512" w:rsidRPr="00EA0512">
              <w:t xml:space="preserve"> potential risks </w:t>
            </w:r>
            <w:r>
              <w:t xml:space="preserve">of </w:t>
            </w:r>
            <w:r w:rsidR="00EA0512" w:rsidRPr="00EA0512">
              <w:t>high</w:t>
            </w:r>
            <w:r>
              <w:t>-</w:t>
            </w:r>
            <w:r w:rsidR="00EA0512" w:rsidRPr="00EA0512">
              <w:t>dose</w:t>
            </w:r>
            <w:r>
              <w:t xml:space="preserve"> administration</w:t>
            </w:r>
            <w:r w:rsidR="00EA0512" w:rsidRPr="00EA0512">
              <w:t>.</w:t>
            </w:r>
            <w:r w:rsidR="00D96273">
              <w:t xml:space="preserve"> </w:t>
            </w:r>
          </w:p>
          <w:p w:rsidR="00D66481" w:rsidRPr="00EA0512" w:rsidRDefault="00EA0512" w:rsidP="00D96273">
            <w:pPr>
              <w:widowControl/>
              <w:jc w:val="left"/>
            </w:pPr>
            <w:r w:rsidRPr="00EA0512">
              <w:t>This was an open-label study with no masking.</w:t>
            </w:r>
          </w:p>
        </w:tc>
        <w:tc>
          <w:tcPr>
            <w:tcW w:w="4287" w:type="dxa"/>
          </w:tcPr>
          <w:p w:rsidR="00D66481" w:rsidRDefault="00C02B87">
            <w:pPr>
              <w:widowControl/>
              <w:jc w:val="left"/>
            </w:pPr>
            <w:r w:rsidRPr="00C02B87">
              <w:lastRenderedPageBreak/>
              <w:t>This was an open-label study with no masking</w:t>
            </w:r>
          </w:p>
        </w:tc>
        <w:tc>
          <w:tcPr>
            <w:tcW w:w="3875" w:type="dxa"/>
          </w:tcPr>
          <w:p w:rsidR="00D66481" w:rsidRPr="00C81581" w:rsidRDefault="00C81581" w:rsidP="00902B7C">
            <w:pPr>
              <w:widowControl/>
              <w:jc w:val="left"/>
            </w:pPr>
            <w:r w:rsidRPr="00C81581">
              <w:t xml:space="preserve">After screening, the patients were divided into three age groups (0 to 3 years 11 months, 4 to 7 years 11 months, and 8 years or older) and randomly assigned </w:t>
            </w:r>
            <w:r w:rsidR="00461CDC">
              <w:t xml:space="preserve">to one of the three </w:t>
            </w:r>
            <w:r w:rsidR="00902B7C">
              <w:t>dosage</w:t>
            </w:r>
            <w:r w:rsidR="00902B7C" w:rsidRPr="00C81581">
              <w:t>s,</w:t>
            </w:r>
            <w:r w:rsidR="00902B7C">
              <w:t xml:space="preserve"> although it was ensured that</w:t>
            </w:r>
            <w:r w:rsidRPr="00C81581">
              <w:t xml:space="preserve"> at least</w:t>
            </w:r>
            <w:r w:rsidR="00D96273">
              <w:t xml:space="preserve"> two members of each age </w:t>
            </w:r>
            <w:r w:rsidR="00D96273">
              <w:lastRenderedPageBreak/>
              <w:t xml:space="preserve">group </w:t>
            </w:r>
            <w:r w:rsidR="00902B7C">
              <w:t>were</w:t>
            </w:r>
            <w:r w:rsidR="00D96273">
              <w:t xml:space="preserve"> </w:t>
            </w:r>
            <w:r w:rsidRPr="00C81581">
              <w:t>assigned to each dosage group so that overall randomization to the treatment arms was at a ratio of 1:1:1.</w:t>
            </w:r>
          </w:p>
        </w:tc>
      </w:tr>
      <w:tr w:rsidR="00D66481" w:rsidTr="00EA0512">
        <w:trPr>
          <w:trHeight w:val="611"/>
        </w:trPr>
        <w:tc>
          <w:tcPr>
            <w:tcW w:w="1951" w:type="dxa"/>
          </w:tcPr>
          <w:p w:rsidR="00D66481" w:rsidRDefault="00D66481" w:rsidP="00D66481">
            <w:pPr>
              <w:widowControl/>
              <w:jc w:val="center"/>
            </w:pPr>
            <w:r>
              <w:rPr>
                <w:rFonts w:hint="eastAsia"/>
              </w:rPr>
              <w:lastRenderedPageBreak/>
              <w:t>Outcomes</w:t>
            </w:r>
          </w:p>
        </w:tc>
        <w:tc>
          <w:tcPr>
            <w:tcW w:w="3509" w:type="dxa"/>
          </w:tcPr>
          <w:p w:rsidR="00EA0512" w:rsidRDefault="00EA0512" w:rsidP="00EA0512">
            <w:pPr>
              <w:widowControl/>
              <w:jc w:val="left"/>
            </w:pPr>
            <w:r>
              <w:t>Safety eva</w:t>
            </w:r>
            <w:r w:rsidR="00826CFB">
              <w:t xml:space="preserve">luations included monitoring </w:t>
            </w:r>
            <w:r>
              <w:t xml:space="preserve">adverse events </w:t>
            </w:r>
            <w:r w:rsidR="00461CDC">
              <w:t>and</w:t>
            </w:r>
            <w:r>
              <w:t xml:space="preserve"> laboratory tests</w:t>
            </w:r>
            <w:r w:rsidR="00461CDC">
              <w:t xml:space="preserve"> (h</w:t>
            </w:r>
            <w:r>
              <w:t>ematologic and serum biochemica</w:t>
            </w:r>
            <w:r w:rsidR="00C91AB0">
              <w:t>l tests and urinalyses</w:t>
            </w:r>
            <w:r>
              <w:t>, heart rate, body temperature, and blood pressure along with electrocardiogram</w:t>
            </w:r>
            <w:r w:rsidR="00826CFB">
              <w:t>s</w:t>
            </w:r>
            <w:r w:rsidR="00461CDC">
              <w:t>, a</w:t>
            </w:r>
            <w:r>
              <w:t>nti-IDS antibody and anti-</w:t>
            </w:r>
            <w:r w:rsidR="00C91AB0">
              <w:t>PFA</w:t>
            </w:r>
            <w:r>
              <w:t xml:space="preserve"> antibody levels</w:t>
            </w:r>
            <w:r w:rsidR="00461CDC">
              <w:t>).</w:t>
            </w:r>
          </w:p>
          <w:p w:rsidR="00826CFB" w:rsidRDefault="00461CDC" w:rsidP="00EA0512">
            <w:pPr>
              <w:widowControl/>
              <w:jc w:val="left"/>
            </w:pPr>
            <w:r>
              <w:t>PK</w:t>
            </w:r>
            <w:r w:rsidR="00EA0512">
              <w:t xml:space="preserve"> </w:t>
            </w:r>
            <w:r>
              <w:t>was evaluated</w:t>
            </w:r>
            <w:r w:rsidR="00EA0512">
              <w:t xml:space="preserve"> at all dosing points in Part 1, and after the first and last </w:t>
            </w:r>
            <w:r w:rsidR="00C91AB0">
              <w:t xml:space="preserve">PFA </w:t>
            </w:r>
            <w:r w:rsidR="00EA0512">
              <w:t xml:space="preserve">administrations in Part 2. </w:t>
            </w:r>
          </w:p>
          <w:p w:rsidR="00EA0512" w:rsidRDefault="00EA0512" w:rsidP="00EA0512">
            <w:pPr>
              <w:widowControl/>
              <w:jc w:val="left"/>
            </w:pPr>
            <w:r>
              <w:t>The time points for blood sampling were before dosing, 1 h after the start of dosing, immediately after the last administ</w:t>
            </w:r>
            <w:r w:rsidR="00C91AB0">
              <w:t>ra</w:t>
            </w:r>
            <w:r>
              <w:t xml:space="preserve">tion, and then 3, 9, and 21 h afterwards. Drug </w:t>
            </w:r>
            <w:r>
              <w:lastRenderedPageBreak/>
              <w:t xml:space="preserve">concentrations were measured by an </w:t>
            </w:r>
            <w:proofErr w:type="spellStart"/>
            <w:r>
              <w:t>electrochemiluminescence</w:t>
            </w:r>
            <w:proofErr w:type="spellEnd"/>
            <w:r>
              <w:t xml:space="preserve"> assay.</w:t>
            </w:r>
          </w:p>
          <w:p w:rsidR="00D66481" w:rsidRPr="00EA0512" w:rsidRDefault="00EA0512" w:rsidP="002A0C3B">
            <w:pPr>
              <w:widowControl/>
              <w:jc w:val="left"/>
            </w:pPr>
            <w:r>
              <w:t xml:space="preserve">Evaluations of exploratory efficacy focused on </w:t>
            </w:r>
            <w:r w:rsidR="00826CFB">
              <w:t>heparin sulfate (</w:t>
            </w:r>
            <w:r w:rsidR="0019109B">
              <w:t>HS</w:t>
            </w:r>
            <w:r w:rsidR="00826CFB">
              <w:t>)</w:t>
            </w:r>
            <w:r w:rsidR="0019109B">
              <w:t xml:space="preserve"> and </w:t>
            </w:r>
            <w:proofErr w:type="spellStart"/>
            <w:r w:rsidR="00826CFB">
              <w:t>delmatan</w:t>
            </w:r>
            <w:proofErr w:type="spellEnd"/>
            <w:r w:rsidR="00826CFB">
              <w:t xml:space="preserve"> sulfate (</w:t>
            </w:r>
            <w:r w:rsidR="0019109B">
              <w:t>DS</w:t>
            </w:r>
            <w:r w:rsidR="00826CFB">
              <w:t>)</w:t>
            </w:r>
            <w:r w:rsidR="0019109B">
              <w:t xml:space="preserve"> </w:t>
            </w:r>
            <w:r>
              <w:t xml:space="preserve">concentrations in the </w:t>
            </w:r>
            <w:r w:rsidR="00826CFB">
              <w:t>cerebrospinal fluid (</w:t>
            </w:r>
            <w:r>
              <w:t>CSF</w:t>
            </w:r>
            <w:r w:rsidR="00826CFB">
              <w:t>)</w:t>
            </w:r>
            <w:r>
              <w:t xml:space="preserve">. To evaluate somatic efficacy, HS and DS levels in the serum and urine were also measured. </w:t>
            </w:r>
            <w:r w:rsidR="00C91AB0">
              <w:t>C</w:t>
            </w:r>
            <w:r>
              <w:t xml:space="preserve">omputed tomography </w:t>
            </w:r>
            <w:r w:rsidR="00826CFB">
              <w:t xml:space="preserve">(CT) </w:t>
            </w:r>
            <w:r w:rsidR="002A0C3B">
              <w:t xml:space="preserve">was </w:t>
            </w:r>
            <w:r w:rsidR="00AD620E">
              <w:t>used</w:t>
            </w:r>
            <w:r w:rsidR="002A0C3B">
              <w:t xml:space="preserve"> to </w:t>
            </w:r>
            <w:r w:rsidR="00C91AB0">
              <w:t>assess</w:t>
            </w:r>
            <w:r>
              <w:t xml:space="preserve"> hepatosplenomegaly. Cardiac structures and functi</w:t>
            </w:r>
            <w:r w:rsidR="00C91AB0">
              <w:t>ons were evaluated by echocardi</w:t>
            </w:r>
            <w:r>
              <w:t>ography.</w:t>
            </w:r>
          </w:p>
        </w:tc>
        <w:tc>
          <w:tcPr>
            <w:tcW w:w="4287" w:type="dxa"/>
          </w:tcPr>
          <w:p w:rsidR="0019109B" w:rsidRDefault="0019109B" w:rsidP="0019109B">
            <w:pPr>
              <w:widowControl/>
              <w:jc w:val="left"/>
            </w:pPr>
            <w:r>
              <w:lastRenderedPageBreak/>
              <w:t>-</w:t>
            </w:r>
            <w:r w:rsidR="002218C3">
              <w:t>The pri</w:t>
            </w:r>
            <w:r w:rsidR="00C02B87" w:rsidRPr="00C02B87">
              <w:t>mary efficacy endpoint was the changes in HS concentrations in the CSF at the time of the initial dose and at week 52</w:t>
            </w:r>
            <w:r w:rsidR="002A0C3B">
              <w:t>, which were used an i</w:t>
            </w:r>
            <w:r w:rsidR="00C02B87" w:rsidRPr="00C02B87">
              <w:t>ndicator</w:t>
            </w:r>
            <w:r w:rsidR="002218C3">
              <w:t>s of neurodegeneration. Measure</w:t>
            </w:r>
            <w:r w:rsidR="00C02B87" w:rsidRPr="00C02B87">
              <w:t>ment</w:t>
            </w:r>
            <w:r w:rsidR="002A0C3B">
              <w:t>s</w:t>
            </w:r>
            <w:r w:rsidR="00C02B87" w:rsidRPr="00C02B87">
              <w:t xml:space="preserve"> of HS </w:t>
            </w:r>
            <w:r w:rsidR="002A0C3B">
              <w:t>levels were made with</w:t>
            </w:r>
            <w:r w:rsidR="00C02B87" w:rsidRPr="00C02B87">
              <w:t xml:space="preserve"> high-sensitivity LC/MS/</w:t>
            </w:r>
            <w:r w:rsidR="002218C3" w:rsidRPr="00C02B87">
              <w:t>MS</w:t>
            </w:r>
            <w:r w:rsidR="002218C3">
              <w:t xml:space="preserve"> [</w:t>
            </w:r>
            <w:r w:rsidR="00FE2711">
              <w:t>12</w:t>
            </w:r>
            <w:r w:rsidR="002218C3">
              <w:t>]</w:t>
            </w:r>
            <w:r w:rsidR="00C02B87" w:rsidRPr="00C02B87">
              <w:t xml:space="preserve"> </w:t>
            </w:r>
          </w:p>
          <w:p w:rsidR="0019109B" w:rsidRDefault="0019109B" w:rsidP="0019109B">
            <w:pPr>
              <w:widowControl/>
              <w:jc w:val="left"/>
            </w:pPr>
            <w:r>
              <w:t>-</w:t>
            </w:r>
            <w:r w:rsidR="00C02B87" w:rsidRPr="00C02B87">
              <w:t xml:space="preserve">The secondary </w:t>
            </w:r>
            <w:r w:rsidR="002218C3">
              <w:t xml:space="preserve">efficacy </w:t>
            </w:r>
            <w:r w:rsidR="00C02B87" w:rsidRPr="00C02B87">
              <w:t xml:space="preserve">endpoints included developmental assessments with the Kyoto Scale of Psychological </w:t>
            </w:r>
            <w:r w:rsidRPr="00C02B87">
              <w:t>Development and</w:t>
            </w:r>
            <w:r w:rsidR="00C02B87" w:rsidRPr="00C02B87">
              <w:t xml:space="preserve"> Vineland Adaptive Behavior Scales</w:t>
            </w:r>
            <w:r w:rsidR="00B338F1">
              <w:t xml:space="preserve"> (VABS-II)</w:t>
            </w:r>
            <w:r w:rsidR="00C02B87" w:rsidRPr="00C02B87">
              <w:t>.</w:t>
            </w:r>
            <w:r w:rsidR="002218C3">
              <w:t xml:space="preserve"> </w:t>
            </w:r>
            <w:r w:rsidR="00C02B87" w:rsidRPr="00C02B87">
              <w:t xml:space="preserve">Investigators’ observations of the qualitative behavioral changes in the patients were also collected to register the neuropsychiatric and behavioral changes </w:t>
            </w:r>
            <w:r w:rsidR="002A0C3B">
              <w:t xml:space="preserve">that are </w:t>
            </w:r>
            <w:r w:rsidR="00C02B87" w:rsidRPr="00C02B87">
              <w:t xml:space="preserve">difficult to capture by the standardized methods. To evaluate peripheral efficacy, changes in serum HS and DS concentrations </w:t>
            </w:r>
            <w:r w:rsidR="002A0C3B">
              <w:lastRenderedPageBreak/>
              <w:t>(</w:t>
            </w:r>
            <w:r w:rsidR="00C02B87" w:rsidRPr="00C02B87">
              <w:t>LC/MS/MS</w:t>
            </w:r>
            <w:r w:rsidR="002A0C3B">
              <w:t>)</w:t>
            </w:r>
            <w:r w:rsidR="00C02B87" w:rsidRPr="00C02B87">
              <w:t xml:space="preserve">, liver and spleen volumes </w:t>
            </w:r>
            <w:r w:rsidR="002A0C3B">
              <w:t>(</w:t>
            </w:r>
            <w:r w:rsidR="00C02B87" w:rsidRPr="00C02B87">
              <w:t>CT</w:t>
            </w:r>
            <w:r w:rsidR="002A0C3B">
              <w:t>)</w:t>
            </w:r>
            <w:r w:rsidR="00C02B87" w:rsidRPr="00C02B87">
              <w:t xml:space="preserve">, cardiac function </w:t>
            </w:r>
            <w:r w:rsidR="002A0C3B">
              <w:t>(</w:t>
            </w:r>
            <w:r w:rsidR="00C02B87" w:rsidRPr="00C02B87">
              <w:t>echocardiography</w:t>
            </w:r>
            <w:r w:rsidR="002A0C3B">
              <w:t>) were assessed</w:t>
            </w:r>
            <w:r w:rsidR="00C02B87" w:rsidRPr="00C02B87">
              <w:t xml:space="preserve"> at baseline and at weeks 25 and 52. </w:t>
            </w:r>
          </w:p>
          <w:p w:rsidR="00D66481" w:rsidRDefault="0019109B" w:rsidP="0019109B">
            <w:pPr>
              <w:widowControl/>
              <w:jc w:val="left"/>
            </w:pPr>
            <w:r>
              <w:t>-S</w:t>
            </w:r>
            <w:r w:rsidR="00C02B87" w:rsidRPr="00C02B87">
              <w:t>afety endpoints were adverse events, adverse drug reactions, anti-drug antibodies, and infusion-associated reactions, as well as data from laboratory tests and electrocardiography.</w:t>
            </w:r>
          </w:p>
        </w:tc>
        <w:tc>
          <w:tcPr>
            <w:tcW w:w="3875" w:type="dxa"/>
          </w:tcPr>
          <w:p w:rsidR="00C81581" w:rsidRDefault="008156E7" w:rsidP="00C81581">
            <w:pPr>
              <w:widowControl/>
              <w:jc w:val="left"/>
            </w:pPr>
            <w:r>
              <w:lastRenderedPageBreak/>
              <w:t>-</w:t>
            </w:r>
            <w:r w:rsidR="00B338F1">
              <w:t>Safety</w:t>
            </w:r>
            <w:r w:rsidR="00C81581">
              <w:t xml:space="preserve"> evaluations were based on the type and severity of adverse events, vital signs, anti-</w:t>
            </w:r>
            <w:r w:rsidR="00B338F1">
              <w:t xml:space="preserve">PFA </w:t>
            </w:r>
            <w:r w:rsidR="00C81581">
              <w:t xml:space="preserve">antibodies, </w:t>
            </w:r>
            <w:r w:rsidR="00AD620E">
              <w:t>electrocardiography</w:t>
            </w:r>
            <w:r w:rsidR="00C81581">
              <w:t>, and routine blood tests (hematology, liver function, renal function, iron-related parameters) and urinalysis.</w:t>
            </w:r>
          </w:p>
          <w:p w:rsidR="00C81581" w:rsidRDefault="008156E7" w:rsidP="00C81581">
            <w:pPr>
              <w:widowControl/>
              <w:jc w:val="left"/>
            </w:pPr>
            <w:r>
              <w:t>-</w:t>
            </w:r>
            <w:r w:rsidR="00B338F1">
              <w:t>E</w:t>
            </w:r>
            <w:r w:rsidR="00C81581">
              <w:t xml:space="preserve">fficacy endpoints were (a) changes between baseline and week 26 in serum and urine HS and DS concentrations, liver and spleen volumes by MRI, and left ventricular mass index by echocardiography; and (b) changes between baseline and week 26 in cortical grey matter, ventricular volumes and DTI results by MRI, HS and DS concentrations in the CSF, results of neurocognitive and adaptive behavioral tests </w:t>
            </w:r>
            <w:r w:rsidR="00C81581">
              <w:lastRenderedPageBreak/>
              <w:t xml:space="preserve">(BSID-III, KABC-II and VABS-II), quality of life measurements, and </w:t>
            </w:r>
            <w:proofErr w:type="spellStart"/>
            <w:r w:rsidR="00C81581">
              <w:t>actigraphy</w:t>
            </w:r>
            <w:proofErr w:type="spellEnd"/>
            <w:r w:rsidR="00C81581">
              <w:t xml:space="preserve"> readings. </w:t>
            </w:r>
            <w:r w:rsidR="00B824D3" w:rsidRPr="00C02B87">
              <w:t>LC/MS/MS</w:t>
            </w:r>
            <w:r w:rsidR="00C81581">
              <w:t xml:space="preserve"> was used to measure HS and DS concentrations in the CSF, serum, and urine.</w:t>
            </w:r>
          </w:p>
          <w:p w:rsidR="00D66481" w:rsidRPr="00C81581" w:rsidRDefault="00C81581" w:rsidP="008156E7">
            <w:pPr>
              <w:widowControl/>
              <w:jc w:val="left"/>
            </w:pPr>
            <w:r>
              <w:t>P</w:t>
            </w:r>
            <w:r w:rsidR="00B824D3">
              <w:t>K</w:t>
            </w:r>
            <w:r>
              <w:t xml:space="preserve"> evaluations were performed at all dosing points and after the first and the last administrations of </w:t>
            </w:r>
            <w:r w:rsidR="008156E7">
              <w:t>PFA</w:t>
            </w:r>
            <w:r>
              <w:t xml:space="preserve"> in the patients aged 8 years or older</w:t>
            </w:r>
            <w:r w:rsidR="008156E7">
              <w:t>.</w:t>
            </w:r>
            <w:r>
              <w:t xml:space="preserve"> Blood samples were collected at six time points: 10 minutes prior to infusion, 1 hour after the start of dosing, immediately after the last administration, and then 3, 6, and 21 hours post infusion. </w:t>
            </w:r>
            <w:r w:rsidR="008156E7">
              <w:t>PK</w:t>
            </w:r>
            <w:r>
              <w:t xml:space="preserve"> parameters </w:t>
            </w:r>
            <w:r w:rsidR="008156E7">
              <w:t xml:space="preserve">were measured by </w:t>
            </w:r>
            <w:proofErr w:type="spellStart"/>
            <w:r>
              <w:t>electrochemiluminescence</w:t>
            </w:r>
            <w:proofErr w:type="spellEnd"/>
            <w:r>
              <w:t xml:space="preserve"> assay.</w:t>
            </w:r>
          </w:p>
        </w:tc>
      </w:tr>
      <w:tr w:rsidR="00D66481" w:rsidTr="00EA0512">
        <w:trPr>
          <w:trHeight w:val="632"/>
        </w:trPr>
        <w:tc>
          <w:tcPr>
            <w:tcW w:w="1951" w:type="dxa"/>
          </w:tcPr>
          <w:p w:rsidR="00D66481" w:rsidRDefault="00D66481" w:rsidP="00D66481">
            <w:pPr>
              <w:widowControl/>
              <w:jc w:val="center"/>
            </w:pPr>
            <w:r>
              <w:rPr>
                <w:rFonts w:hint="eastAsia"/>
              </w:rPr>
              <w:lastRenderedPageBreak/>
              <w:t>Statistical analysis</w:t>
            </w:r>
          </w:p>
        </w:tc>
        <w:tc>
          <w:tcPr>
            <w:tcW w:w="3509" w:type="dxa"/>
          </w:tcPr>
          <w:p w:rsidR="008156E7" w:rsidRDefault="00EA0512" w:rsidP="00EA0512">
            <w:pPr>
              <w:widowControl/>
              <w:jc w:val="left"/>
            </w:pPr>
            <w:r>
              <w:t>A non-compartment</w:t>
            </w:r>
            <w:r w:rsidR="00AD620E">
              <w:t>al</w:t>
            </w:r>
            <w:r>
              <w:t xml:space="preserve"> model analysis was used to calculate </w:t>
            </w:r>
            <w:r w:rsidR="008156E7">
              <w:t>PK parameters</w:t>
            </w:r>
            <w:r>
              <w:t xml:space="preserve">. To </w:t>
            </w:r>
            <w:proofErr w:type="spellStart"/>
            <w:r>
              <w:t>analyse</w:t>
            </w:r>
            <w:proofErr w:type="spellEnd"/>
            <w:r>
              <w:t xml:space="preserve"> </w:t>
            </w:r>
            <w:r w:rsidR="00A22A51">
              <w:rPr>
                <w:rFonts w:hint="eastAsia"/>
              </w:rPr>
              <w:t>PK</w:t>
            </w:r>
            <w:r>
              <w:t xml:space="preserve"> endpoints, plasma drug concentrations adjusted for the </w:t>
            </w:r>
            <w:r>
              <w:lastRenderedPageBreak/>
              <w:t xml:space="preserve">plasma IDS concentration at baseline were used. </w:t>
            </w:r>
          </w:p>
          <w:p w:rsidR="00EA0512" w:rsidRDefault="00EA0512" w:rsidP="00EA0512">
            <w:pPr>
              <w:widowControl/>
              <w:jc w:val="left"/>
            </w:pPr>
            <w:r>
              <w:t xml:space="preserve">Efficacy was assessed in the full analysis set. </w:t>
            </w:r>
          </w:p>
          <w:p w:rsidR="00D66481" w:rsidRPr="00EA0512" w:rsidRDefault="00EA0512" w:rsidP="006826F7">
            <w:pPr>
              <w:widowControl/>
              <w:jc w:val="left"/>
            </w:pPr>
            <w:r>
              <w:t xml:space="preserve">Safety was assessed in the safety analysis set, which included all patients who received at least 1 dose of </w:t>
            </w:r>
            <w:r w:rsidR="00FE2711">
              <w:t>PFA</w:t>
            </w:r>
            <w:r>
              <w:t>. The number and proportion of subjects who experienced any adverse drug reactions were recorded, along with the total number of adverse drug reactions. Statistical analys</w:t>
            </w:r>
            <w:r w:rsidR="006826F7">
              <w:t>e</w:t>
            </w:r>
            <w:r>
              <w:t>s were performed using the SAS version 9.4 statistical software package (SAS Institute Inc., Cary, NC, USA).</w:t>
            </w:r>
          </w:p>
        </w:tc>
        <w:tc>
          <w:tcPr>
            <w:tcW w:w="4287" w:type="dxa"/>
          </w:tcPr>
          <w:p w:rsidR="00C02B87" w:rsidRDefault="00C02B87" w:rsidP="00C02B87">
            <w:pPr>
              <w:widowControl/>
              <w:jc w:val="left"/>
            </w:pPr>
            <w:r>
              <w:lastRenderedPageBreak/>
              <w:t xml:space="preserve">The minimum sample size needed to evaluate the primary efficacy endpoint was </w:t>
            </w:r>
            <w:r w:rsidR="00A220BE">
              <w:t xml:space="preserve">calculated as in the </w:t>
            </w:r>
            <w:r>
              <w:t>phase</w:t>
            </w:r>
            <w:r w:rsidR="006826F7">
              <w:t xml:space="preserve"> I/II</w:t>
            </w:r>
            <w:r>
              <w:t xml:space="preserve"> study. The effect size of </w:t>
            </w:r>
            <w:r w:rsidR="008C7CAD">
              <w:rPr>
                <w:rFonts w:hint="eastAsia"/>
              </w:rPr>
              <w:t>PFA</w:t>
            </w:r>
            <w:r>
              <w:t xml:space="preserve"> versus the standard </w:t>
            </w:r>
            <w:proofErr w:type="spellStart"/>
            <w:r>
              <w:t>idursulfase</w:t>
            </w:r>
            <w:proofErr w:type="spellEnd"/>
            <w:r>
              <w:t xml:space="preserve"> treatment in reducing HS </w:t>
            </w:r>
            <w:r>
              <w:lastRenderedPageBreak/>
              <w:t>concentrations in the CSF was conservatively estimated to be about 1100 ng/</w:t>
            </w:r>
            <w:proofErr w:type="spellStart"/>
            <w:r>
              <w:t>mL.</w:t>
            </w:r>
            <w:proofErr w:type="spellEnd"/>
            <w:r>
              <w:t xml:space="preserve"> Detection of this effect with 80% power using a 2-sided paired t-test at 5% significa</w:t>
            </w:r>
            <w:r w:rsidR="008C7CAD">
              <w:t>nce level would require five pa</w:t>
            </w:r>
            <w:r>
              <w:t>tients for the study</w:t>
            </w:r>
            <w:r w:rsidR="00A220BE">
              <w:rPr>
                <w:rFonts w:hint="eastAsia"/>
              </w:rPr>
              <w:t>. More patients were</w:t>
            </w:r>
            <w:r>
              <w:t xml:space="preserve"> enrolled to collect sufficient data to evaluate both central and peripheral efficacy.</w:t>
            </w:r>
          </w:p>
          <w:p w:rsidR="00C02B87" w:rsidRDefault="00C02B87" w:rsidP="00C02B87">
            <w:pPr>
              <w:widowControl/>
              <w:jc w:val="left"/>
            </w:pPr>
            <w:r>
              <w:t>All data analyses followed t</w:t>
            </w:r>
            <w:r w:rsidR="008C7CAD">
              <w:t>he intention-to-treat principle</w:t>
            </w:r>
            <w:r>
              <w:t>.</w:t>
            </w:r>
          </w:p>
          <w:p w:rsidR="00C02B87" w:rsidRDefault="00C02B87" w:rsidP="00C02B87">
            <w:pPr>
              <w:widowControl/>
              <w:jc w:val="left"/>
            </w:pPr>
            <w:r>
              <w:t xml:space="preserve">The paired t-test was used to analyze the differences between HS concentrations in the CSF at baseline and at week 52. </w:t>
            </w:r>
          </w:p>
          <w:p w:rsidR="00D66481" w:rsidRPr="00C02B87" w:rsidRDefault="00C02B87" w:rsidP="00C02B87">
            <w:pPr>
              <w:widowControl/>
              <w:jc w:val="left"/>
            </w:pPr>
            <w:r>
              <w:t>All statistical analyses were performed with the SAS version 9.4 statistical soft-ware package (SAS Institute, Cary, NC, USA).</w:t>
            </w:r>
          </w:p>
        </w:tc>
        <w:tc>
          <w:tcPr>
            <w:tcW w:w="3875" w:type="dxa"/>
          </w:tcPr>
          <w:p w:rsidR="00350E90" w:rsidRDefault="00350E90" w:rsidP="00350E90">
            <w:pPr>
              <w:widowControl/>
              <w:jc w:val="left"/>
            </w:pPr>
            <w:r>
              <w:lastRenderedPageBreak/>
              <w:t>All data analyses followed the intention-to-treat principle. P</w:t>
            </w:r>
            <w:r w:rsidR="0008288C">
              <w:t>K</w:t>
            </w:r>
            <w:r>
              <w:t xml:space="preserve"> analysis was done only for the patients older than 8 years of age administered with at least one dose of </w:t>
            </w:r>
            <w:r w:rsidR="0008288C">
              <w:lastRenderedPageBreak/>
              <w:t>PFA</w:t>
            </w:r>
            <w:r>
              <w:t xml:space="preserve"> and for whom plasma drug concentration data were available. </w:t>
            </w:r>
          </w:p>
          <w:p w:rsidR="00350E90" w:rsidRDefault="00350E90" w:rsidP="00350E90">
            <w:pPr>
              <w:widowControl/>
              <w:jc w:val="left"/>
            </w:pPr>
            <w:r>
              <w:t xml:space="preserve">The somatic efficacy endpoints were analyzed separately in the patients with and without prior ERT with </w:t>
            </w:r>
            <w:proofErr w:type="spellStart"/>
            <w:r>
              <w:t>idulsulfase</w:t>
            </w:r>
            <w:proofErr w:type="spellEnd"/>
            <w:r>
              <w:t xml:space="preserve">. </w:t>
            </w:r>
          </w:p>
          <w:p w:rsidR="00350E90" w:rsidRDefault="00350E90" w:rsidP="00350E90">
            <w:pPr>
              <w:widowControl/>
              <w:jc w:val="left"/>
            </w:pPr>
            <w:r>
              <w:t xml:space="preserve">Regarding HS and DS concentrations in the CSF and neurocognitive testing, the patients with and without prior ERT were analyzed together. In the neurocognitive testing result analyses, </w:t>
            </w:r>
            <w:r w:rsidR="006826F7">
              <w:t>age equivalent (</w:t>
            </w:r>
            <w:r>
              <w:t>AE</w:t>
            </w:r>
            <w:r w:rsidR="006826F7">
              <w:t>)</w:t>
            </w:r>
            <w:r>
              <w:t xml:space="preserve"> scores and </w:t>
            </w:r>
            <w:proofErr w:type="gramStart"/>
            <w:r w:rsidR="006826F7">
              <w:t>developmental  quotient</w:t>
            </w:r>
            <w:proofErr w:type="gramEnd"/>
            <w:r w:rsidR="006826F7">
              <w:t xml:space="preserve"> (</w:t>
            </w:r>
            <w:r>
              <w:t>DQ</w:t>
            </w:r>
            <w:r w:rsidR="006826F7">
              <w:t>)</w:t>
            </w:r>
            <w:bookmarkStart w:id="0" w:name="_GoBack"/>
            <w:bookmarkEnd w:id="0"/>
            <w:r>
              <w:t xml:space="preserve"> scores were calculated for the cognitive domain of the BSID III and the nonverbal index of the KABC II. For the VABS II, patients were classified in terms of improvement, stabilization, or deterioration according to the absolute change in AE scores for each subdomain at 52 weeks.</w:t>
            </w:r>
          </w:p>
          <w:p w:rsidR="00D66481" w:rsidRPr="00350E90" w:rsidRDefault="00350E90" w:rsidP="00350E90">
            <w:pPr>
              <w:widowControl/>
              <w:jc w:val="left"/>
            </w:pPr>
            <w:r>
              <w:lastRenderedPageBreak/>
              <w:t>All statistical analyses were performed with the SAS version 9.4 statistical soft-ware package (SAS Institute, Cary, NC, USA).</w:t>
            </w:r>
          </w:p>
        </w:tc>
      </w:tr>
    </w:tbl>
    <w:p w:rsidR="00D66481" w:rsidRDefault="00D66481">
      <w:pPr>
        <w:widowControl/>
        <w:jc w:val="left"/>
      </w:pPr>
    </w:p>
    <w:p w:rsidR="00B06FAA" w:rsidRPr="00D66481" w:rsidRDefault="00B06FAA"/>
    <w:sectPr w:rsidR="00B06FAA" w:rsidRPr="00D66481" w:rsidSect="00D66481">
      <w:footerReference w:type="default" r:id="rId7"/>
      <w:pgSz w:w="16838" w:h="11906" w:orient="landscape"/>
      <w:pgMar w:top="1701" w:right="1985"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752F" w:rsidRDefault="0027752F" w:rsidP="00C81581">
      <w:r>
        <w:separator/>
      </w:r>
    </w:p>
  </w:endnote>
  <w:endnote w:type="continuationSeparator" w:id="0">
    <w:p w:rsidR="0027752F" w:rsidRDefault="0027752F" w:rsidP="00C8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3659587"/>
      <w:docPartObj>
        <w:docPartGallery w:val="Page Numbers (Bottom of Page)"/>
        <w:docPartUnique/>
      </w:docPartObj>
    </w:sdtPr>
    <w:sdtEndPr/>
    <w:sdtContent>
      <w:p w:rsidR="00C81581" w:rsidRDefault="00C81581">
        <w:pPr>
          <w:pStyle w:val="a6"/>
          <w:jc w:val="center"/>
        </w:pPr>
        <w:r>
          <w:fldChar w:fldCharType="begin"/>
        </w:r>
        <w:r>
          <w:instrText>PAGE   \* MERGEFORMAT</w:instrText>
        </w:r>
        <w:r>
          <w:fldChar w:fldCharType="separate"/>
        </w:r>
        <w:r w:rsidR="006826F7" w:rsidRPr="006826F7">
          <w:rPr>
            <w:noProof/>
            <w:lang w:val="ja-JP"/>
          </w:rPr>
          <w:t>6</w:t>
        </w:r>
        <w:r>
          <w:fldChar w:fldCharType="end"/>
        </w:r>
      </w:p>
    </w:sdtContent>
  </w:sdt>
  <w:p w:rsidR="00C81581" w:rsidRDefault="00C8158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752F" w:rsidRDefault="0027752F" w:rsidP="00C81581">
      <w:r>
        <w:separator/>
      </w:r>
    </w:p>
  </w:footnote>
  <w:footnote w:type="continuationSeparator" w:id="0">
    <w:p w:rsidR="0027752F" w:rsidRDefault="0027752F" w:rsidP="00C815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1515C5"/>
    <w:multiLevelType w:val="hybridMultilevel"/>
    <w:tmpl w:val="AEF8D0B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CA6"/>
    <w:rsid w:val="00023D80"/>
    <w:rsid w:val="0008288C"/>
    <w:rsid w:val="00095BB7"/>
    <w:rsid w:val="001345C6"/>
    <w:rsid w:val="00146983"/>
    <w:rsid w:val="0019109B"/>
    <w:rsid w:val="001F4E9F"/>
    <w:rsid w:val="00203E55"/>
    <w:rsid w:val="002218C3"/>
    <w:rsid w:val="0027752F"/>
    <w:rsid w:val="002928AD"/>
    <w:rsid w:val="002A0C3B"/>
    <w:rsid w:val="00327CA6"/>
    <w:rsid w:val="00343065"/>
    <w:rsid w:val="00350E90"/>
    <w:rsid w:val="00375D66"/>
    <w:rsid w:val="003838CE"/>
    <w:rsid w:val="00404F89"/>
    <w:rsid w:val="004267FC"/>
    <w:rsid w:val="004543C4"/>
    <w:rsid w:val="00461CDC"/>
    <w:rsid w:val="00534CDC"/>
    <w:rsid w:val="00550DD7"/>
    <w:rsid w:val="00551F71"/>
    <w:rsid w:val="005B4558"/>
    <w:rsid w:val="005D45B8"/>
    <w:rsid w:val="00647660"/>
    <w:rsid w:val="00647DB9"/>
    <w:rsid w:val="00665FF8"/>
    <w:rsid w:val="006826F7"/>
    <w:rsid w:val="00691590"/>
    <w:rsid w:val="00767FE8"/>
    <w:rsid w:val="007A3B5E"/>
    <w:rsid w:val="008156E7"/>
    <w:rsid w:val="00826CFB"/>
    <w:rsid w:val="008378C2"/>
    <w:rsid w:val="008C7CAD"/>
    <w:rsid w:val="008D267B"/>
    <w:rsid w:val="00902B7C"/>
    <w:rsid w:val="00982E19"/>
    <w:rsid w:val="00A220BE"/>
    <w:rsid w:val="00A22A51"/>
    <w:rsid w:val="00A96210"/>
    <w:rsid w:val="00AD620E"/>
    <w:rsid w:val="00B06FAA"/>
    <w:rsid w:val="00B338F1"/>
    <w:rsid w:val="00B741D8"/>
    <w:rsid w:val="00B824D3"/>
    <w:rsid w:val="00BC4548"/>
    <w:rsid w:val="00C02B87"/>
    <w:rsid w:val="00C243A2"/>
    <w:rsid w:val="00C60DC1"/>
    <w:rsid w:val="00C81581"/>
    <w:rsid w:val="00C91AB0"/>
    <w:rsid w:val="00D44ECA"/>
    <w:rsid w:val="00D66481"/>
    <w:rsid w:val="00D96273"/>
    <w:rsid w:val="00EA0512"/>
    <w:rsid w:val="00EA1AF2"/>
    <w:rsid w:val="00EB0C63"/>
    <w:rsid w:val="00EB1EED"/>
    <w:rsid w:val="00EE48C1"/>
    <w:rsid w:val="00F6769E"/>
    <w:rsid w:val="00FE27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7DB0D20D-AF4A-450B-9770-A31B615FC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664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81581"/>
    <w:pPr>
      <w:tabs>
        <w:tab w:val="center" w:pos="4252"/>
        <w:tab w:val="right" w:pos="8504"/>
      </w:tabs>
      <w:snapToGrid w:val="0"/>
    </w:pPr>
  </w:style>
  <w:style w:type="character" w:customStyle="1" w:styleId="a5">
    <w:name w:val="ヘッダー (文字)"/>
    <w:basedOn w:val="a0"/>
    <w:link w:val="a4"/>
    <w:uiPriority w:val="99"/>
    <w:rsid w:val="00C81581"/>
  </w:style>
  <w:style w:type="paragraph" w:styleId="a6">
    <w:name w:val="footer"/>
    <w:basedOn w:val="a"/>
    <w:link w:val="a7"/>
    <w:uiPriority w:val="99"/>
    <w:unhideWhenUsed/>
    <w:rsid w:val="00C81581"/>
    <w:pPr>
      <w:tabs>
        <w:tab w:val="center" w:pos="4252"/>
        <w:tab w:val="right" w:pos="8504"/>
      </w:tabs>
      <w:snapToGrid w:val="0"/>
    </w:pPr>
  </w:style>
  <w:style w:type="character" w:customStyle="1" w:styleId="a7">
    <w:name w:val="フッター (文字)"/>
    <w:basedOn w:val="a0"/>
    <w:link w:val="a6"/>
    <w:uiPriority w:val="99"/>
    <w:rsid w:val="00C81581"/>
  </w:style>
  <w:style w:type="paragraph" w:styleId="a8">
    <w:name w:val="Balloon Text"/>
    <w:basedOn w:val="a"/>
    <w:link w:val="a9"/>
    <w:uiPriority w:val="99"/>
    <w:semiHidden/>
    <w:unhideWhenUsed/>
    <w:rsid w:val="0064766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47660"/>
    <w:rPr>
      <w:rFonts w:asciiTheme="majorHAnsi" w:eastAsiaTheme="majorEastAsia" w:hAnsiTheme="majorHAnsi" w:cstheme="majorBidi"/>
      <w:sz w:val="18"/>
      <w:szCs w:val="18"/>
    </w:rPr>
  </w:style>
  <w:style w:type="paragraph" w:styleId="aa">
    <w:name w:val="List Paragraph"/>
    <w:basedOn w:val="a"/>
    <w:uiPriority w:val="34"/>
    <w:qFormat/>
    <w:rsid w:val="00534CD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6</Pages>
  <Words>1385</Words>
  <Characters>7900</Characters>
  <Application>Microsoft Office Word</Application>
  <DocSecurity>0</DocSecurity>
  <Lines>65</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佐藤 裕史</dc:creator>
  <cp:lastModifiedBy>佐藤 裕史</cp:lastModifiedBy>
  <cp:revision>53</cp:revision>
  <dcterms:created xsi:type="dcterms:W3CDTF">2021-05-24T07:33:00Z</dcterms:created>
  <dcterms:modified xsi:type="dcterms:W3CDTF">2021-08-24T02:13:00Z</dcterms:modified>
</cp:coreProperties>
</file>